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B" w:rsidRPr="00682FA4" w:rsidRDefault="00303ADB" w:rsidP="0030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A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3F2BD6">
        <w:rPr>
          <w:rFonts w:ascii="Times New Roman" w:hAnsi="Times New Roman" w:cs="Times New Roman"/>
          <w:b/>
          <w:sz w:val="28"/>
          <w:szCs w:val="28"/>
        </w:rPr>
        <w:t>Башировский</w:t>
      </w:r>
      <w:r w:rsidRPr="00682FA4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Чекмагушевский район Республики Башкортостан</w:t>
      </w:r>
    </w:p>
    <w:p w:rsidR="00303ADB" w:rsidRPr="00682FA4" w:rsidRDefault="00303ADB" w:rsidP="0030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DB" w:rsidRPr="00682FA4" w:rsidRDefault="00303ADB" w:rsidP="0030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ADB" w:rsidRPr="00682FA4" w:rsidRDefault="003F2BD6" w:rsidP="0030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03ADB" w:rsidRPr="0068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8F" w:rsidRPr="00682FA4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 года № 32</w:t>
      </w:r>
    </w:p>
    <w:p w:rsid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D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DB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682FA4">
        <w:rPr>
          <w:rFonts w:ascii="Times New Roman" w:hAnsi="Times New Roman" w:cs="Times New Roman"/>
          <w:b/>
          <w:bCs/>
          <w:sz w:val="28"/>
          <w:szCs w:val="28"/>
        </w:rPr>
        <w:t>Башировский сельсовет</w:t>
      </w:r>
      <w:r w:rsidRPr="00303AD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района Чекмагушевский район Республики Башкортостан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DB" w:rsidRPr="00303ADB" w:rsidRDefault="00303ADB" w:rsidP="00303AD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303ADB" w:rsidRPr="00303ADB" w:rsidRDefault="00303ADB" w:rsidP="00303A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3F2B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3ADB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3F2BD6">
        <w:rPr>
          <w:rFonts w:ascii="Times New Roman" w:hAnsi="Times New Roman" w:cs="Times New Roman"/>
          <w:sz w:val="28"/>
          <w:szCs w:val="28"/>
        </w:rPr>
        <w:t>Башировский</w:t>
      </w:r>
      <w:r w:rsidRPr="00303AD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A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DB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r w:rsidR="00682FA4">
        <w:rPr>
          <w:rFonts w:ascii="Times New Roman" w:hAnsi="Times New Roman" w:cs="Times New Roman"/>
          <w:bCs/>
          <w:sz w:val="28"/>
          <w:szCs w:val="28"/>
        </w:rPr>
        <w:t>Башировский сельсовет</w:t>
      </w:r>
      <w:r w:rsidRPr="00303ADB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Чекмагушевский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ADB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303ADB" w:rsidRPr="00303ADB" w:rsidRDefault="00303ADB" w:rsidP="00303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 на информационном стенде по адресу: Республика Башкортостан, Чекмагушевский район, с.</w:t>
      </w:r>
      <w:r w:rsidR="003F2BD6">
        <w:rPr>
          <w:rFonts w:ascii="Times New Roman" w:hAnsi="Times New Roman" w:cs="Times New Roman"/>
          <w:sz w:val="28"/>
          <w:szCs w:val="28"/>
        </w:rPr>
        <w:t>Старобаширово</w:t>
      </w:r>
      <w:r w:rsidRPr="00303ADB">
        <w:rPr>
          <w:rFonts w:ascii="Times New Roman" w:hAnsi="Times New Roman" w:cs="Times New Roman"/>
          <w:sz w:val="28"/>
          <w:szCs w:val="28"/>
        </w:rPr>
        <w:t>, ул.</w:t>
      </w:r>
      <w:r w:rsidR="003F2BD6">
        <w:rPr>
          <w:rFonts w:ascii="Times New Roman" w:hAnsi="Times New Roman" w:cs="Times New Roman"/>
          <w:sz w:val="28"/>
          <w:szCs w:val="28"/>
        </w:rPr>
        <w:t>М.Хузина</w:t>
      </w:r>
      <w:r w:rsidRPr="00303ADB">
        <w:rPr>
          <w:rFonts w:ascii="Times New Roman" w:hAnsi="Times New Roman" w:cs="Times New Roman"/>
          <w:sz w:val="28"/>
          <w:szCs w:val="28"/>
        </w:rPr>
        <w:t>,</w:t>
      </w:r>
      <w:r w:rsidR="003F2BD6">
        <w:rPr>
          <w:rFonts w:ascii="Times New Roman" w:hAnsi="Times New Roman" w:cs="Times New Roman"/>
          <w:sz w:val="28"/>
          <w:szCs w:val="28"/>
        </w:rPr>
        <w:t xml:space="preserve"> 87</w:t>
      </w:r>
      <w:r w:rsidRPr="00303ADB">
        <w:rPr>
          <w:rFonts w:ascii="Times New Roman" w:hAnsi="Times New Roman" w:cs="Times New Roman"/>
          <w:sz w:val="28"/>
          <w:szCs w:val="28"/>
        </w:rPr>
        <w:t xml:space="preserve"> и  размещения на официальном информационном сайте Администрации сельского поселения </w:t>
      </w:r>
      <w:r w:rsidR="00682FA4">
        <w:rPr>
          <w:rFonts w:ascii="Times New Roman" w:hAnsi="Times New Roman" w:cs="Times New Roman"/>
          <w:sz w:val="28"/>
          <w:szCs w:val="28"/>
        </w:rPr>
        <w:t>Башировский сельсовет</w:t>
      </w:r>
      <w:r w:rsidRPr="00303ADB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</w:t>
      </w:r>
      <w:r w:rsidRPr="0030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ADB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hyperlink r:id="rId8" w:history="1">
        <w:r w:rsidR="003F2BD6" w:rsidRPr="00A5604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3F2BD6" w:rsidRPr="00A5604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bashir</w:t>
        </w:r>
        <w:r w:rsidR="003F2BD6" w:rsidRPr="00A56045">
          <w:rPr>
            <w:rStyle w:val="a7"/>
            <w:rFonts w:ascii="Times New Roman" w:hAnsi="Times New Roman" w:cs="Times New Roman"/>
            <w:sz w:val="28"/>
            <w:szCs w:val="28"/>
          </w:rPr>
          <w:t>ovo.ru/</w:t>
        </w:r>
      </w:hyperlink>
      <w:r w:rsidRPr="00303ADB">
        <w:rPr>
          <w:rFonts w:ascii="Times New Roman" w:hAnsi="Times New Roman" w:cs="Times New Roman"/>
          <w:sz w:val="28"/>
          <w:szCs w:val="28"/>
        </w:rPr>
        <w:t>.</w:t>
      </w:r>
    </w:p>
    <w:p w:rsidR="00303ADB" w:rsidRDefault="00303ADB" w:rsidP="00303A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3.  Контроль за исполнением настоящего оставляю за собой.</w:t>
      </w:r>
    </w:p>
    <w:p w:rsidR="003F2BD6" w:rsidRDefault="003F2BD6" w:rsidP="00303A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DB" w:rsidRPr="00303ADB" w:rsidRDefault="00303ADB" w:rsidP="0030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DB" w:rsidRPr="00303ADB" w:rsidRDefault="003F2BD6" w:rsidP="003F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М.Х.Хасанов</w:t>
      </w:r>
    </w:p>
    <w:p w:rsidR="00303ADB" w:rsidRPr="003F2BD6" w:rsidRDefault="00303ADB" w:rsidP="00303ADB">
      <w:pPr>
        <w:tabs>
          <w:tab w:val="left" w:pos="7425"/>
        </w:tabs>
        <w:spacing w:after="0" w:line="240" w:lineRule="auto"/>
        <w:rPr>
          <w:b/>
        </w:rPr>
      </w:pPr>
    </w:p>
    <w:p w:rsidR="001747FC" w:rsidRPr="003A0800" w:rsidRDefault="001747FC" w:rsidP="00384FC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A42575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2575">
        <w:rPr>
          <w:rFonts w:ascii="Times New Roman" w:hAnsi="Times New Roman" w:cs="Times New Roman"/>
          <w:sz w:val="28"/>
          <w:szCs w:val="28"/>
        </w:rPr>
        <w:t>Утвержден</w:t>
      </w:r>
    </w:p>
    <w:p w:rsidR="006F5C23" w:rsidRDefault="00A42575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BFD" w:rsidRPr="00A42575">
        <w:rPr>
          <w:rFonts w:ascii="Times New Roman" w:hAnsi="Times New Roman" w:cs="Times New Roman"/>
          <w:sz w:val="28"/>
          <w:szCs w:val="28"/>
        </w:rPr>
        <w:t>остановлением</w:t>
      </w:r>
      <w:r w:rsidR="006D3D16" w:rsidRPr="00A42575">
        <w:rPr>
          <w:rFonts w:ascii="Times New Roman" w:hAnsi="Times New Roman" w:cs="Times New Roman"/>
          <w:sz w:val="28"/>
          <w:szCs w:val="28"/>
        </w:rPr>
        <w:t xml:space="preserve"> </w:t>
      </w:r>
      <w:r w:rsidR="00C44063" w:rsidRPr="00A42575">
        <w:rPr>
          <w:rFonts w:ascii="Times New Roman" w:hAnsi="Times New Roman" w:cs="Times New Roman"/>
          <w:sz w:val="28"/>
          <w:szCs w:val="28"/>
        </w:rPr>
        <w:t>Администрации</w:t>
      </w:r>
      <w:r w:rsidR="006F5C23" w:rsidRPr="006F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23" w:rsidRDefault="006F5C23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565107" w:rsidRPr="006F5C23" w:rsidRDefault="00682FA4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Башировский сельсовет</w:t>
      </w:r>
    </w:p>
    <w:p w:rsidR="00D8095C" w:rsidRDefault="00D8095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8095C" w:rsidRDefault="00D8095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40698B" w:rsidRPr="003A0800" w:rsidRDefault="00D8095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E2BFD" w:rsidRPr="00384FC2" w:rsidRDefault="00240275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3F2B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D6">
        <w:rPr>
          <w:rFonts w:ascii="Times New Roman" w:hAnsi="Times New Roman" w:cs="Times New Roman"/>
          <w:sz w:val="28"/>
          <w:szCs w:val="28"/>
        </w:rPr>
        <w:t>дека</w:t>
      </w:r>
      <w:r w:rsidR="00303ADB">
        <w:rPr>
          <w:rFonts w:ascii="Times New Roman" w:hAnsi="Times New Roman" w:cs="Times New Roman"/>
          <w:sz w:val="28"/>
          <w:szCs w:val="28"/>
        </w:rPr>
        <w:t xml:space="preserve">бря </w:t>
      </w:r>
      <w:r w:rsidR="003F2BD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84FC2">
        <w:rPr>
          <w:rFonts w:ascii="Times New Roman" w:hAnsi="Times New Roman" w:cs="Times New Roman"/>
          <w:sz w:val="28"/>
          <w:szCs w:val="28"/>
        </w:rPr>
        <w:t>года №</w:t>
      </w:r>
      <w:r w:rsidR="003F2BD6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2A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:rsidR="002A0449" w:rsidRPr="003A0800" w:rsidRDefault="002A0449" w:rsidP="002A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82FA4">
        <w:rPr>
          <w:rFonts w:ascii="Times New Roman" w:hAnsi="Times New Roman" w:cs="Times New Roman"/>
          <w:b/>
          <w:bCs/>
          <w:sz w:val="28"/>
          <w:szCs w:val="28"/>
        </w:rPr>
        <w:t>Башировский сельсовет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Чекмагушевский район Республики Башкортостан</w:t>
      </w: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413334">
        <w:rPr>
          <w:rFonts w:ascii="Times New Roman" w:hAnsi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</w:t>
      </w:r>
      <w:r w:rsidR="00286EB5" w:rsidRPr="003A0800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A0800" w:rsidRDefault="00286EB5" w:rsidP="00CC14BA">
      <w:pPr>
        <w:pStyle w:val="af3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3A0800" w:rsidRDefault="00286EB5" w:rsidP="008053C6">
      <w:pPr>
        <w:pStyle w:val="af3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413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C2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82FA4">
        <w:rPr>
          <w:rFonts w:ascii="Times New Roman" w:eastAsia="Calibri" w:hAnsi="Times New Roman" w:cs="Times New Roman"/>
          <w:sz w:val="28"/>
          <w:szCs w:val="28"/>
        </w:rPr>
        <w:t>Башировский сельсовет</w:t>
      </w:r>
      <w:r w:rsidR="006F5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696" w:rsidRPr="003A080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05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84C">
        <w:rPr>
          <w:rFonts w:ascii="Times New Roman" w:eastAsia="Calibri" w:hAnsi="Times New Roman" w:cs="Times New Roman"/>
          <w:sz w:val="28"/>
          <w:szCs w:val="28"/>
        </w:rPr>
        <w:t>Чекмагушевский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41F15" w:rsidRPr="00E4400C" w:rsidRDefault="00341F15" w:rsidP="0080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440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CC606C">
        <w:rPr>
          <w:rFonts w:ascii="Times New Roman" w:hAnsi="Times New Roman" w:cs="Times New Roman"/>
          <w:sz w:val="28"/>
          <w:szCs w:val="28"/>
        </w:rPr>
        <w:t>https://chekmagush.bashkortostan.ru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400C">
        <w:rPr>
          <w:rFonts w:ascii="Times New Roman" w:hAnsi="Times New Roman" w:cs="Times New Roman"/>
          <w:sz w:val="28"/>
          <w:szCs w:val="28"/>
        </w:rPr>
        <w:t>;</w:t>
      </w:r>
    </w:p>
    <w:p w:rsidR="00372ABB" w:rsidRPr="003A0800" w:rsidRDefault="00372ABB" w:rsidP="00341F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или РГАУ МФЦ.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 РГАУ МФЦ, обращение в которые необходимо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80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54FD0">
        <w:rPr>
          <w:rFonts w:ascii="Times New Roman" w:eastAsia="Calibri" w:hAnsi="Times New Roman" w:cs="Times New Roman"/>
          <w:sz w:val="28"/>
          <w:szCs w:val="28"/>
        </w:rPr>
        <w:t xml:space="preserve">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«О порядке рассмотрения обращений граждан Российской Федерации» (далее – Федеральный закон № 59-ФЗ).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при обращении заявителя лично, по телефону, посредством электронной почты.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в том числе информация о промежуточных и окончательных сроках таких административных процедур;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предоставляющего муниципальную услугу.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подлежит размещению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а также РГАУ МФЦ;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F2BD6" w:rsidRDefault="003F2BD6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BD6" w:rsidRPr="003A0800" w:rsidRDefault="003F2BD6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3F2BD6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 в информационно-телекоммуникационной сети «Интернет» (далее – официальный сайт Уполномоченного органа), 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его структурного подразделения, предоставляющего муниципальную услугу,  а также РГАУ МФЦ;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Администрации.</w:t>
      </w:r>
    </w:p>
    <w:p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42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EE">
        <w:rPr>
          <w:rFonts w:ascii="Times New Roman" w:eastAsia="Calibri" w:hAnsi="Times New Roman" w:cs="Times New Roman"/>
          <w:sz w:val="28"/>
          <w:szCs w:val="28"/>
        </w:rPr>
        <w:t>муниципального района Чекмагушевский район Республики</w:t>
      </w:r>
      <w:r w:rsidR="00A97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EE">
        <w:rPr>
          <w:rFonts w:ascii="Times New Roman" w:eastAsia="Calibri" w:hAnsi="Times New Roman" w:cs="Times New Roman"/>
          <w:sz w:val="28"/>
          <w:szCs w:val="28"/>
        </w:rPr>
        <w:t xml:space="preserve"> Башкортостан</w:t>
      </w:r>
      <w:r w:rsidR="0080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>в лице</w:t>
      </w:r>
      <w:r w:rsidR="000A3584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отдела.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3A0800" w:rsidRDefault="00B53BC2" w:rsidP="00384FC2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</w:t>
      </w:r>
      <w:r w:rsidR="00CE6F93" w:rsidRPr="00EB688C">
        <w:rPr>
          <w:rFonts w:ascii="Times New Roman" w:hAnsi="Times New Roman"/>
          <w:sz w:val="28"/>
          <w:szCs w:val="28"/>
        </w:rPr>
        <w:lastRenderedPageBreak/>
        <w:t>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3A0800" w:rsidRDefault="00384FC2" w:rsidP="00384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20"/>
        </w:rPr>
        <w:t xml:space="preserve">            </w:t>
      </w:r>
      <w:r w:rsidR="00285292"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="0020661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80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="008053C6"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>Администрацию</w:t>
      </w:r>
      <w:r w:rsidRPr="00A85BF3">
        <w:rPr>
          <w:rFonts w:eastAsia="Calibri"/>
        </w:rPr>
        <w:t xml:space="preserve">, через РГАУ МФЦ, в электронной форме на официальный адрес электронной почты Комитета  или на РПГУ проверяются ответственным должностным лицом на соответствие </w:t>
      </w:r>
      <w:r w:rsidRPr="00A85BF3">
        <w:rPr>
          <w:rFonts w:eastAsia="Calibri"/>
        </w:rPr>
        <w:lastRenderedPageBreak/>
        <w:t>перечню, указанному в пункте 2.8 настоящего Административного регламента.</w:t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 следующими способами: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8053C6">
        <w:t xml:space="preserve"> </w:t>
      </w:r>
      <w:r w:rsidRPr="003A0800">
        <w:t>результатов предоставления муниципальной услуги: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>Администрацию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:rsidR="0051416C" w:rsidRPr="003A0800" w:rsidRDefault="0051416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запрашивает в порядке межведомственного взаимодействия, относятся: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66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документы, указанные в п.2.9</w:t>
      </w:r>
      <w:r w:rsidR="008053C6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A0800">
        <w:rPr>
          <w:rFonts w:ascii="Times New Roman" w:hAnsi="Times New Roman" w:cs="Times New Roman"/>
          <w:sz w:val="28"/>
          <w:szCs w:val="28"/>
        </w:rPr>
        <w:t>9</w:t>
      </w:r>
      <w:r w:rsidR="008053C6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требовать от заявителя</w:t>
      </w:r>
    </w:p>
    <w:p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3F2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06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3F2BD6" w:rsidRDefault="003F2BD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BD6" w:rsidRPr="003A0800" w:rsidRDefault="003F2BD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A0800" w:rsidRDefault="002727DB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если 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м являетсяимущество, 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A0800" w:rsidRDefault="002727DB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521EA9"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A0800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9B44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 кресла-коляски;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</w:p>
    <w:p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9B441A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3A0800" w:rsidRDefault="00863366" w:rsidP="00C41FD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3A0800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отказ.</w:t>
      </w:r>
    </w:p>
    <w:p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(далее-Уведомление)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>муниципального имущества</w:t>
      </w:r>
      <w:r w:rsidR="009B441A">
        <w:rPr>
          <w:rFonts w:ascii="Times New Roman" w:hAnsi="Times New Roman"/>
          <w:sz w:val="28"/>
          <w:szCs w:val="28"/>
        </w:rPr>
        <w:t xml:space="preserve">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:rsidR="000B288E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756C24" w:rsidRPr="003A0800" w:rsidRDefault="00756C24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, РГАУ МФЦ для подачи запроса о предоставлении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 или РГАУ МФЦ для подачи запроса.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 или РГАПУ МФЦ заявителю обеспечивается возможность: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или РГАУ МФЦ графика приема заявителей.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осуществляется в порядке, опр</w:t>
      </w:r>
      <w:r w:rsidR="003C0390">
        <w:rPr>
          <w:rFonts w:ascii="Times New Roman" w:hAnsi="Times New Roman" w:cs="Times New Roman"/>
          <w:sz w:val="28"/>
          <w:szCs w:val="28"/>
        </w:rPr>
        <w:t>еделяемом 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 обеспечивает: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б) направление заявителю электронного сообщения о приеме запроса либо об отказе в приеме к рассмотрению в срок не позднее 1 рабочего дня с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="003C039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</w:t>
      </w:r>
      <w:r w:rsidR="003C0390">
        <w:rPr>
          <w:rFonts w:ascii="Times New Roman" w:hAnsi="Times New Roman" w:cs="Times New Roman"/>
          <w:sz w:val="28"/>
          <w:szCs w:val="28"/>
        </w:rPr>
        <w:t>я или бездействие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 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 xml:space="preserve">осудебное (внесудебное) обжалование решений и действий (бездействия) </w:t>
      </w:r>
      <w:r w:rsidR="00D3360F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E4500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</w:t>
      </w:r>
      <w:r w:rsidR="00D3360F">
        <w:rPr>
          <w:rFonts w:ascii="Times New Roman" w:eastAsia="Calibri" w:hAnsi="Times New Roman" w:cs="Times New Roman"/>
          <w:sz w:val="28"/>
          <w:szCs w:val="28"/>
        </w:rPr>
        <w:t>вий (бездействия) Администрации</w:t>
      </w:r>
      <w:r w:rsidR="003C0390">
        <w:rPr>
          <w:rFonts w:ascii="Times New Roman" w:eastAsia="Calibri" w:hAnsi="Times New Roman" w:cs="Times New Roman"/>
          <w:sz w:val="28"/>
          <w:szCs w:val="28"/>
        </w:rPr>
        <w:t>, должностных лиц Администрации</w:t>
      </w:r>
      <w:r w:rsidRPr="00E45004">
        <w:rPr>
          <w:rFonts w:ascii="Times New Roman" w:eastAsia="Calibri" w:hAnsi="Times New Roman" w:cs="Times New Roman"/>
          <w:sz w:val="28"/>
          <w:szCs w:val="28"/>
        </w:rPr>
        <w:t>, муниципальных служащих в досудебном (внесудебном) порядке (далее – жалоба).</w:t>
      </w:r>
    </w:p>
    <w:p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A0800" w:rsidRDefault="00040778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3C0390"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на предмет соответствия требованиям, предусмотренным Административным регламентом.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 момента принятия решения,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оригинального экземпляра документа о предоставлении муниципальной услуги, содержащий опечатки и ошибки.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A0800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F8341B" w:rsidRPr="003A0800" w:rsidRDefault="00F8341B" w:rsidP="001E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F5C97" w:rsidRPr="003A0800" w:rsidRDefault="003F5C97" w:rsidP="001E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1E4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384FC2" w:rsidRPr="003A0800" w:rsidRDefault="00384FC2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1E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за решения и действия</w:t>
      </w:r>
      <w:r w:rsidR="001E4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должностных лиц </w:t>
      </w:r>
      <w:r w:rsidR="001E4C3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муниципальных служащих в досудебном (внесудебном) порядке (далее – жалоба).</w:t>
      </w:r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7659" w:rsidRPr="003A0800" w:rsidRDefault="001E4C3A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 Администрации</w:t>
      </w:r>
      <w:r w:rsidR="00317659" w:rsidRPr="003A0800">
        <w:rPr>
          <w:rFonts w:ascii="Times New Roman" w:eastAsia="Calibri" w:hAnsi="Times New Roman" w:cs="Times New Roman"/>
          <w:sz w:val="28"/>
          <w:szCs w:val="28"/>
        </w:rPr>
        <w:t>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</w:t>
      </w:r>
      <w:r w:rsidR="001E4C3A">
        <w:rPr>
          <w:rFonts w:ascii="Times New Roman" w:eastAsia="Calibri" w:hAnsi="Times New Roman" w:cs="Times New Roman"/>
          <w:sz w:val="28"/>
          <w:szCs w:val="28"/>
        </w:rPr>
        <w:t>вия (бездействие) 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должностного лица Администрации , муниципального служащего подается руководителю Администрации 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3A0800" w:rsidRDefault="001E4C3A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Администрации</w:t>
      </w:r>
      <w:r w:rsidR="00317659" w:rsidRPr="003A0800">
        <w:rPr>
          <w:rFonts w:ascii="Times New Roman" w:eastAsia="Calibri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, но не позднее следующего рабочего дня со дня поступления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F5C97" w:rsidRPr="003A0800" w:rsidRDefault="003F5C97" w:rsidP="00F4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468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направляет жалобу в</w:t>
      </w:r>
      <w:r w:rsidR="00384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 на ее рассмотрение орган и в письменной форме информирует заявителя о перенаправлении жалобы.</w:t>
      </w:r>
    </w:p>
    <w:p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, подлежит рассмотрению в течение 15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наделенным полномочиями по рассмотрению жалоб, принимается одно из следующих решений: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 отказывает в удовлетворении жалобы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наделенное полномочиями по рассмотрению жалоб в соответствии с </w:t>
      </w:r>
      <w:hyperlink r:id="rId28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судебном порядке.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обязаны: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обеспечивает: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84FC2" w:rsidRPr="003A0800" w:rsidRDefault="003F5C97" w:rsidP="0038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</w:t>
      </w:r>
      <w:r w:rsidR="00F46800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(https://mfcrb.ru/) и информационных стендах многофункциональных центров;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2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="003F2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="003F2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="003F2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передает документы в РГАУ МФЦ для последующей выдачи заявителю.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таких документов в РГАУ МФЦ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A0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4D93" w:rsidRPr="003A0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6F5C23" w:rsidRDefault="006F5C23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 </w:t>
      </w:r>
    </w:p>
    <w:p w:rsidR="006F5C23" w:rsidRPr="003A0800" w:rsidRDefault="006F5C23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2FA4">
        <w:rPr>
          <w:rFonts w:ascii="Times New Roman" w:hAnsi="Times New Roman" w:cs="Times New Roman"/>
          <w:sz w:val="28"/>
          <w:szCs w:val="28"/>
        </w:rPr>
        <w:t>Башировский сельсовет</w:t>
      </w:r>
    </w:p>
    <w:p w:rsidR="00CE3CBA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</w:p>
    <w:p w:rsidR="00F46800" w:rsidRPr="003A0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район </w:t>
      </w:r>
    </w:p>
    <w:p w:rsidR="00CE3CBA" w:rsidRPr="003A0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34B88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Администрация </w:t>
      </w:r>
      <w:r w:rsidR="006F5C23">
        <w:rPr>
          <w:rFonts w:ascii="Times New Roman" w:hAnsi="Times New Roman"/>
          <w:sz w:val="24"/>
          <w:szCs w:val="24"/>
        </w:rPr>
        <w:t>сельского поселения</w:t>
      </w:r>
    </w:p>
    <w:p w:rsidR="006F5C23" w:rsidRPr="003A0800" w:rsidRDefault="00682FA4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Башировский сельсовет</w:t>
      </w:r>
    </w:p>
    <w:p w:rsidR="00F46800" w:rsidRP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4680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6800" w:rsidRP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800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472629" w:rsidRP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468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048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E15" w:rsidRPr="003A0800" w:rsidRDefault="00072E1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58" w:rsidRPr="003A0800" w:rsidRDefault="00072E1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4758" w:rsidRPr="003A0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5C23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Default="006F5C23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</w:t>
      </w:r>
    </w:p>
    <w:p w:rsidR="006F5C23" w:rsidRPr="003A0800" w:rsidRDefault="006F5C23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82FA4">
        <w:rPr>
          <w:rFonts w:ascii="Times New Roman" w:hAnsi="Times New Roman" w:cs="Times New Roman"/>
          <w:sz w:val="28"/>
          <w:szCs w:val="28"/>
        </w:rPr>
        <w:t>Башировский сельсовет</w:t>
      </w:r>
    </w:p>
    <w:p w:rsid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</w:p>
    <w:p w:rsidR="00F46800" w:rsidRPr="003A0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район </w:t>
      </w:r>
    </w:p>
    <w:p w:rsidR="00EE1D32" w:rsidRPr="003A0800" w:rsidRDefault="00F46800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64307E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51A82" w:rsidRPr="007768AD">
        <w:rPr>
          <w:rFonts w:ascii="Times New Roman" w:hAnsi="Times New Roman" w:cs="Times New Roman"/>
          <w:sz w:val="24"/>
          <w:szCs w:val="24"/>
        </w:rPr>
        <w:t>Администрация</w:t>
      </w:r>
      <w:r w:rsidR="006F5C23">
        <w:rPr>
          <w:rFonts w:ascii="Times New Roman" w:hAnsi="Times New Roman" w:cs="Times New Roman"/>
          <w:sz w:val="24"/>
          <w:szCs w:val="24"/>
        </w:rPr>
        <w:t xml:space="preserve"> СП </w:t>
      </w:r>
      <w:r w:rsidR="003F2BD6">
        <w:rPr>
          <w:rFonts w:ascii="Times New Roman" w:hAnsi="Times New Roman" w:cs="Times New Roman"/>
          <w:sz w:val="24"/>
          <w:szCs w:val="24"/>
        </w:rPr>
        <w:t>Башировский</w:t>
      </w:r>
      <w:r w:rsidR="006F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A9" w:rsidRPr="007768AD" w:rsidRDefault="0064307E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F5C23">
        <w:rPr>
          <w:rFonts w:ascii="Times New Roman" w:hAnsi="Times New Roman" w:cs="Times New Roman"/>
          <w:sz w:val="24"/>
          <w:szCs w:val="24"/>
        </w:rPr>
        <w:t>сельсовет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Чекмагушевский район 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68AD" w:rsidRPr="007768AD" w:rsidRDefault="007768AD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3F2BD6">
        <w:rPr>
          <w:sz w:val="24"/>
          <w:szCs w:val="24"/>
        </w:rPr>
        <w:t>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7768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072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B4758" w:rsidRPr="003A0800" w:rsidRDefault="00072E1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64307E" w:rsidRDefault="0064307E" w:rsidP="0064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</w:t>
      </w:r>
    </w:p>
    <w:p w:rsidR="0064307E" w:rsidRPr="003A0800" w:rsidRDefault="0064307E" w:rsidP="0064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82FA4">
        <w:rPr>
          <w:rFonts w:ascii="Times New Roman" w:hAnsi="Times New Roman" w:cs="Times New Roman"/>
          <w:sz w:val="28"/>
          <w:szCs w:val="28"/>
        </w:rPr>
        <w:t>Башировский сельсовет</w:t>
      </w:r>
    </w:p>
    <w:p w:rsid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район 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64307E" w:rsidRDefault="007768AD" w:rsidP="00643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F2BD6">
        <w:rPr>
          <w:rFonts w:ascii="Times New Roman" w:hAnsi="Times New Roman" w:cs="Times New Roman"/>
          <w:sz w:val="24"/>
          <w:szCs w:val="24"/>
        </w:rPr>
        <w:t xml:space="preserve"> </w:t>
      </w:r>
      <w:r w:rsidR="00840581" w:rsidRPr="003A08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64307E">
        <w:rPr>
          <w:rFonts w:ascii="Times New Roman" w:hAnsi="Times New Roman" w:cs="Times New Roman"/>
          <w:sz w:val="24"/>
          <w:szCs w:val="24"/>
        </w:rPr>
        <w:t xml:space="preserve"> СП </w:t>
      </w:r>
      <w:r w:rsidR="003F2BD6">
        <w:rPr>
          <w:rFonts w:ascii="Times New Roman" w:hAnsi="Times New Roman" w:cs="Times New Roman"/>
          <w:sz w:val="24"/>
          <w:szCs w:val="24"/>
        </w:rPr>
        <w:t>Башировский</w:t>
      </w:r>
      <w:r w:rsidR="00643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AD" w:rsidRPr="007768AD" w:rsidRDefault="0064307E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F2B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2BD6">
        <w:rPr>
          <w:rFonts w:ascii="Times New Roman" w:hAnsi="Times New Roman" w:cs="Times New Roman"/>
          <w:sz w:val="24"/>
          <w:szCs w:val="24"/>
        </w:rPr>
        <w:t xml:space="preserve">   </w:t>
      </w:r>
      <w:r w:rsidRPr="007768A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2BD6">
        <w:rPr>
          <w:rFonts w:ascii="Times New Roman" w:hAnsi="Times New Roman" w:cs="Times New Roman"/>
          <w:sz w:val="24"/>
          <w:szCs w:val="24"/>
        </w:rPr>
        <w:t xml:space="preserve">  </w:t>
      </w:r>
      <w:r w:rsidRPr="007768AD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840581" w:rsidRPr="003A0800" w:rsidRDefault="007768AD" w:rsidP="0077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F2BD6">
        <w:rPr>
          <w:rFonts w:ascii="Times New Roman" w:hAnsi="Times New Roman" w:cs="Times New Roman"/>
          <w:sz w:val="24"/>
          <w:szCs w:val="24"/>
        </w:rPr>
        <w:t xml:space="preserve"> </w:t>
      </w:r>
      <w:r w:rsidRPr="007768A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3F2BD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40581" w:rsidRPr="003A08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68AD">
        <w:rPr>
          <w:rFonts w:ascii="Times New Roman" w:hAnsi="Times New Roman" w:cs="Times New Roman"/>
          <w:sz w:val="24"/>
          <w:szCs w:val="24"/>
        </w:rPr>
        <w:t xml:space="preserve">    муниципального района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68AD">
        <w:rPr>
          <w:rFonts w:ascii="Times New Roman" w:hAnsi="Times New Roman" w:cs="Times New Roman"/>
          <w:sz w:val="24"/>
          <w:szCs w:val="24"/>
        </w:rPr>
        <w:t xml:space="preserve">   Чекмагушевский район </w:t>
      </w:r>
    </w:p>
    <w:p w:rsidR="00840581" w:rsidRPr="003A0800" w:rsidRDefault="007768AD" w:rsidP="007768A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7A0382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FE170E">
          <w:head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9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9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личного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</w:t>
            </w:r>
            <w:r w:rsidR="007768AD">
              <w:rPr>
                <w:sz w:val="24"/>
                <w:szCs w:val="24"/>
              </w:rPr>
              <w:t>ое лицо  Администрации</w:t>
            </w:r>
            <w:r w:rsidRPr="003A0800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="003F2BD6"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</w:t>
            </w:r>
            <w:r w:rsidR="007768AD">
              <w:rPr>
                <w:sz w:val="24"/>
                <w:szCs w:val="24"/>
              </w:rPr>
              <w:t>тное лицо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68A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</w:t>
            </w:r>
            <w:r w:rsidR="007768AD">
              <w:rPr>
                <w:sz w:val="24"/>
                <w:szCs w:val="24"/>
              </w:rPr>
              <w:t xml:space="preserve">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053C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80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8053C6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8053C6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рыночной стоимости объекта недвижимости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60 календарных дней с момента предоставление ответственному должностному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лицу отчета об оценке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="003F2BD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принятое Администрацией  решение об условиях приватизации арендуемого </w:t>
            </w:r>
            <w:r w:rsidRPr="003A0800">
              <w:rPr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3F2BD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Администрации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</w:t>
            </w:r>
            <w:r w:rsidR="005A5CBB">
              <w:rPr>
                <w:sz w:val="24"/>
                <w:szCs w:val="24"/>
              </w:rPr>
              <w:t>тное лицо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 xml:space="preserve">принятое Администрацией  решение об </w:t>
            </w:r>
            <w:r w:rsidRPr="00FA4184">
              <w:rPr>
                <w:sz w:val="24"/>
                <w:szCs w:val="24"/>
              </w:rPr>
              <w:lastRenderedPageBreak/>
              <w:t>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подписанное и зарегистрированное предложение заявителю о заключении договора купли-продажи с </w:t>
            </w:r>
            <w:r w:rsidRPr="003A0800">
              <w:rPr>
                <w:sz w:val="24"/>
                <w:szCs w:val="24"/>
              </w:rPr>
              <w:lastRenderedPageBreak/>
              <w:t>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</w:t>
            </w:r>
            <w:r w:rsidR="007768AD">
              <w:rPr>
                <w:sz w:val="24"/>
                <w:szCs w:val="24"/>
              </w:rPr>
              <w:t>тное лицо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сформированного пакета документов для подготовки предложения Заявителю о </w:t>
            </w:r>
            <w:r>
              <w:rPr>
                <w:sz w:val="24"/>
                <w:szCs w:val="24"/>
              </w:rPr>
              <w:lastRenderedPageBreak/>
              <w:t>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передача предложения и проектов договоров купли-продажи арендуемого муниципального имущества</w:t>
            </w:r>
            <w:r w:rsidR="003F2BD6">
              <w:rPr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отметка о направлении заявителю либо получении заявителем </w:t>
            </w:r>
            <w:r w:rsidRPr="003A0800">
              <w:rPr>
                <w:sz w:val="24"/>
                <w:szCs w:val="24"/>
              </w:rPr>
              <w:lastRenderedPageBreak/>
              <w:t>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направляет курьера в Администрацию 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 xml:space="preserve">должностному </w:t>
            </w:r>
            <w:r>
              <w:rPr>
                <w:rFonts w:eastAsia="Calibri"/>
                <w:sz w:val="24"/>
                <w:szCs w:val="24"/>
              </w:rPr>
              <w:lastRenderedPageBreak/>
              <w:t>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, посредством почтовой связи, в электронном форме на официальный адрес электронной почты Администрации , РПГУ, надлежащим образом оформленных документов,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предусмотренных пунктом 2.8 настоящего Административного регламента, Администрации 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</w:t>
            </w:r>
            <w:r w:rsidR="00072E15">
              <w:rPr>
                <w:rFonts w:eastAsia="Calibri"/>
                <w:sz w:val="24"/>
                <w:szCs w:val="24"/>
              </w:rPr>
              <w:t>электронной почты 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, РПГУ, посредством почтовой связи ненадлежащим образом оформленных документов, предусмотренных пунктом 2.8 настоящего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B9" w:rsidRDefault="000769B9">
      <w:pPr>
        <w:spacing w:after="0" w:line="240" w:lineRule="auto"/>
      </w:pPr>
      <w:r>
        <w:separator/>
      </w:r>
    </w:p>
  </w:endnote>
  <w:endnote w:type="continuationSeparator" w:id="1">
    <w:p w:rsidR="000769B9" w:rsidRDefault="0007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B9" w:rsidRDefault="000769B9">
      <w:pPr>
        <w:spacing w:after="0" w:line="240" w:lineRule="auto"/>
      </w:pPr>
      <w:r>
        <w:separator/>
      </w:r>
    </w:p>
  </w:footnote>
  <w:footnote w:type="continuationSeparator" w:id="1">
    <w:p w:rsidR="000769B9" w:rsidRDefault="0007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</w:sdtPr>
    <w:sdtEndPr>
      <w:rPr>
        <w:rFonts w:ascii="Times New Roman" w:hAnsi="Times New Roman" w:cs="Times New Roman"/>
        <w:sz w:val="24"/>
        <w:szCs w:val="24"/>
      </w:rPr>
    </w:sdtEndPr>
    <w:sdtContent>
      <w:p w:rsidR="00682FA4" w:rsidRPr="00D63BC5" w:rsidRDefault="00682F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BD6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2FA4" w:rsidRDefault="00682F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0778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2E15"/>
    <w:rsid w:val="000769B9"/>
    <w:rsid w:val="000776FB"/>
    <w:rsid w:val="0008184F"/>
    <w:rsid w:val="00084B9E"/>
    <w:rsid w:val="00085990"/>
    <w:rsid w:val="00090645"/>
    <w:rsid w:val="000909C5"/>
    <w:rsid w:val="00094F8F"/>
    <w:rsid w:val="000964FA"/>
    <w:rsid w:val="00096CEE"/>
    <w:rsid w:val="000971E2"/>
    <w:rsid w:val="00097764"/>
    <w:rsid w:val="000A2707"/>
    <w:rsid w:val="000A3584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95D24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5162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4C3A"/>
    <w:rsid w:val="001E552A"/>
    <w:rsid w:val="001E6781"/>
    <w:rsid w:val="001E6CA1"/>
    <w:rsid w:val="001F0640"/>
    <w:rsid w:val="001F2B6F"/>
    <w:rsid w:val="001F3FC9"/>
    <w:rsid w:val="001F702C"/>
    <w:rsid w:val="0020002D"/>
    <w:rsid w:val="0020160E"/>
    <w:rsid w:val="002020CA"/>
    <w:rsid w:val="00202659"/>
    <w:rsid w:val="002029E1"/>
    <w:rsid w:val="00203556"/>
    <w:rsid w:val="00206612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0275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0449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39C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3ADB"/>
    <w:rsid w:val="00306586"/>
    <w:rsid w:val="003102FF"/>
    <w:rsid w:val="003115DC"/>
    <w:rsid w:val="00311B95"/>
    <w:rsid w:val="00316462"/>
    <w:rsid w:val="00317277"/>
    <w:rsid w:val="00317659"/>
    <w:rsid w:val="00322F79"/>
    <w:rsid w:val="00330A2E"/>
    <w:rsid w:val="00330DB0"/>
    <w:rsid w:val="003320F5"/>
    <w:rsid w:val="00332BB3"/>
    <w:rsid w:val="003364D4"/>
    <w:rsid w:val="003370B1"/>
    <w:rsid w:val="00337385"/>
    <w:rsid w:val="003373C1"/>
    <w:rsid w:val="00337601"/>
    <w:rsid w:val="00341F15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4FC2"/>
    <w:rsid w:val="0038558A"/>
    <w:rsid w:val="003866FF"/>
    <w:rsid w:val="0039337E"/>
    <w:rsid w:val="00393CFE"/>
    <w:rsid w:val="003957CC"/>
    <w:rsid w:val="00397032"/>
    <w:rsid w:val="00397C89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0390"/>
    <w:rsid w:val="003C701E"/>
    <w:rsid w:val="003D06E6"/>
    <w:rsid w:val="003D2CFF"/>
    <w:rsid w:val="003D330A"/>
    <w:rsid w:val="003D3671"/>
    <w:rsid w:val="003D3A64"/>
    <w:rsid w:val="003D5933"/>
    <w:rsid w:val="003D6193"/>
    <w:rsid w:val="003E1413"/>
    <w:rsid w:val="003E2749"/>
    <w:rsid w:val="003E4DD9"/>
    <w:rsid w:val="003E595E"/>
    <w:rsid w:val="003E691A"/>
    <w:rsid w:val="003F0E61"/>
    <w:rsid w:val="003F0E90"/>
    <w:rsid w:val="003F2BD6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3334"/>
    <w:rsid w:val="004142C8"/>
    <w:rsid w:val="00417CD6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7AC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B31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20EE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A5CBB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2440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4307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2FA4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3D1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6F5C23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6C24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68AD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3C6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554"/>
    <w:rsid w:val="008616D7"/>
    <w:rsid w:val="008621A7"/>
    <w:rsid w:val="00862700"/>
    <w:rsid w:val="00863366"/>
    <w:rsid w:val="00864FAA"/>
    <w:rsid w:val="00865600"/>
    <w:rsid w:val="00866D0A"/>
    <w:rsid w:val="008676CD"/>
    <w:rsid w:val="00867CF2"/>
    <w:rsid w:val="008707F6"/>
    <w:rsid w:val="008734A8"/>
    <w:rsid w:val="008745D7"/>
    <w:rsid w:val="00874E34"/>
    <w:rsid w:val="00875252"/>
    <w:rsid w:val="00877421"/>
    <w:rsid w:val="00882F8E"/>
    <w:rsid w:val="00883D03"/>
    <w:rsid w:val="00884350"/>
    <w:rsid w:val="0088684C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3E12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441A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5D60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2575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56449"/>
    <w:rsid w:val="00A60D2E"/>
    <w:rsid w:val="00A64B57"/>
    <w:rsid w:val="00A6634B"/>
    <w:rsid w:val="00A66895"/>
    <w:rsid w:val="00A66C4D"/>
    <w:rsid w:val="00A72971"/>
    <w:rsid w:val="00A72BE6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974B4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3304"/>
    <w:rsid w:val="00B070EE"/>
    <w:rsid w:val="00B07596"/>
    <w:rsid w:val="00B10682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A98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331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28A7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3360F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2F1F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95C"/>
    <w:rsid w:val="00D80D18"/>
    <w:rsid w:val="00D8148D"/>
    <w:rsid w:val="00D82C69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4D6F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0E8F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800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6E13"/>
    <w:rsid w:val="00F87572"/>
    <w:rsid w:val="00F9183C"/>
    <w:rsid w:val="00F91BA0"/>
    <w:rsid w:val="00F925AB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0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irovo.ru/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25AC-7CF8-48F4-AC9D-982A77E8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18628</Words>
  <Characters>106180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6</cp:revision>
  <cp:lastPrinted>2021-05-14T05:06:00Z</cp:lastPrinted>
  <dcterms:created xsi:type="dcterms:W3CDTF">2023-03-28T07:38:00Z</dcterms:created>
  <dcterms:modified xsi:type="dcterms:W3CDTF">2023-03-28T08:05:00Z</dcterms:modified>
</cp:coreProperties>
</file>